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4" w:rsidRPr="00C24639" w:rsidRDefault="00F91A84" w:rsidP="005C58BA">
      <w:pPr>
        <w:spacing w:before="240" w:line="360" w:lineRule="auto"/>
        <w:jc w:val="both"/>
        <w:rPr>
          <w:rFonts w:ascii="Times New Roman" w:hAnsi="Times New Roman" w:cs="Times New Roman"/>
        </w:rPr>
      </w:pPr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6"/>
          <w:u w:val="single"/>
        </w:rPr>
      </w:pPr>
      <w:bookmarkStart w:id="0" w:name="_Toc102039122"/>
      <w:bookmarkStart w:id="1" w:name="_Toc109111345"/>
      <w:bookmarkStart w:id="2" w:name="_Toc110505234"/>
      <w:bookmarkStart w:id="3" w:name="_Toc113885196"/>
      <w:r w:rsidRPr="00C24639">
        <w:rPr>
          <w:rFonts w:ascii="Times New Roman" w:eastAsia="Calibri" w:hAnsi="Times New Roman" w:cs="Times New Roman"/>
          <w:b/>
          <w:bCs/>
          <w:sz w:val="24"/>
          <w:szCs w:val="26"/>
        </w:rPr>
        <w:t>ANEXO II (A).</w:t>
      </w:r>
      <w:r w:rsidR="00A45673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 </w:t>
      </w:r>
      <w:r w:rsidRPr="00C24639">
        <w:rPr>
          <w:rFonts w:ascii="Times New Roman" w:eastAsia="Calibri" w:hAnsi="Times New Roman" w:cs="Times New Roman"/>
          <w:b/>
          <w:bCs/>
          <w:sz w:val="24"/>
          <w:szCs w:val="26"/>
        </w:rPr>
        <w:t>DECLARACIÓN RESPONSABLE DE CUMPLIMIENTO DE LAS CONDICIONES ESTABLECIDAS LEGALMENTE PARA CONTRATAR CON EL AYUNTAMIENTO DE EL PALMAR DE TROYA.</w:t>
      </w:r>
      <w:bookmarkEnd w:id="0"/>
      <w:bookmarkEnd w:id="1"/>
      <w:bookmarkEnd w:id="2"/>
      <w:bookmarkEnd w:id="3"/>
      <w:r w:rsidRPr="00C24639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 </w:t>
      </w:r>
    </w:p>
    <w:p w:rsidR="00C94DA7" w:rsidRPr="00C24639" w:rsidRDefault="005C58BA" w:rsidP="00C94DA7">
      <w:pPr>
        <w:spacing w:after="0" w:line="240" w:lineRule="atLeast"/>
        <w:ind w:right="-41"/>
        <w:jc w:val="both"/>
        <w:rPr>
          <w:rFonts w:ascii="Times New Roman" w:eastAsiaTheme="minorEastAsia" w:hAnsi="Times New Roman" w:cs="Times New Roman"/>
          <w:b/>
          <w:bCs/>
          <w:lang w:eastAsia="es-ES"/>
        </w:rPr>
      </w:pPr>
      <w:r w:rsidRPr="00C24639">
        <w:rPr>
          <w:rFonts w:ascii="Times New Roman" w:eastAsia="Calibri" w:hAnsi="Times New Roman" w:cs="Times New Roman"/>
        </w:rPr>
        <w:t xml:space="preserve">D./Dña..................................................................., con DNI </w:t>
      </w:r>
      <w:proofErr w:type="spellStart"/>
      <w:r w:rsidRPr="00C24639">
        <w:rPr>
          <w:rFonts w:ascii="Times New Roman" w:eastAsia="Calibri" w:hAnsi="Times New Roman" w:cs="Times New Roman"/>
        </w:rPr>
        <w:t>numero</w:t>
      </w:r>
      <w:proofErr w:type="spellEnd"/>
      <w:r w:rsidRPr="00C24639">
        <w:rPr>
          <w:rFonts w:ascii="Times New Roman" w:eastAsia="Calibri" w:hAnsi="Times New Roman" w:cs="Times New Roman"/>
        </w:rPr>
        <w:t>........................ en nombre propio</w:t>
      </w:r>
      <w:r w:rsidRPr="00C24639">
        <w:rPr>
          <w:rFonts w:ascii="Times New Roman" w:eastAsia="Calibri" w:hAnsi="Times New Roman" w:cs="Times New Roman"/>
        </w:rPr>
        <w:tab/>
        <w:t>o como</w:t>
      </w:r>
      <w:r w:rsidRPr="00C24639">
        <w:rPr>
          <w:rFonts w:ascii="Times New Roman" w:eastAsia="Calibri" w:hAnsi="Times New Roman" w:cs="Times New Roman"/>
        </w:rPr>
        <w:tab/>
        <w:t>representante</w:t>
      </w:r>
      <w:r w:rsidRPr="00C24639">
        <w:rPr>
          <w:rFonts w:ascii="Times New Roman" w:eastAsia="Calibri" w:hAnsi="Times New Roman" w:cs="Times New Roman"/>
        </w:rPr>
        <w:tab/>
        <w:t xml:space="preserve">legal de la empresa..................................................................... con CIF...................., entidad que SI </w:t>
      </w:r>
      <w:proofErr w:type="gramStart"/>
      <w:r w:rsidRPr="00C24639">
        <w:rPr>
          <w:rFonts w:ascii="Times New Roman" w:eastAsia="Calibri" w:hAnsi="Times New Roman" w:cs="Times New Roman"/>
        </w:rPr>
        <w:t>( )</w:t>
      </w:r>
      <w:proofErr w:type="gramEnd"/>
      <w:r w:rsidRPr="00C24639">
        <w:rPr>
          <w:rFonts w:ascii="Times New Roman" w:eastAsia="Calibri" w:hAnsi="Times New Roman" w:cs="Times New Roman"/>
        </w:rPr>
        <w:t>, NO ( ) cumple las condiciones de PYME, y domicilio fiscal en ............................. calle ..................................................................... numero………, C.P.…</w:t>
      </w:r>
      <w:proofErr w:type="gramStart"/>
      <w:r w:rsidRPr="00C24639">
        <w:rPr>
          <w:rFonts w:ascii="Times New Roman" w:eastAsia="Calibri" w:hAnsi="Times New Roman" w:cs="Times New Roman"/>
        </w:rPr>
        <w:t>...... ,</w:t>
      </w:r>
      <w:proofErr w:type="gramEnd"/>
      <w:r w:rsidRPr="00C24639">
        <w:rPr>
          <w:rFonts w:ascii="Times New Roman" w:eastAsia="Calibri" w:hAnsi="Times New Roman" w:cs="Times New Roman"/>
        </w:rPr>
        <w:t xml:space="preserve"> enterado del anuncio publicado en el perfil de contratante del día...................... en relación con el </w:t>
      </w:r>
      <w:r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92FC1" w:rsidRPr="00C24639">
        <w:rPr>
          <w:rFonts w:ascii="Times New Roman" w:hAnsi="Times New Roman" w:cs="Times New Roman"/>
        </w:rPr>
        <w:t>“</w:t>
      </w:r>
      <w:r w:rsidR="00A45673" w:rsidRPr="00A45673">
        <w:rPr>
          <w:rFonts w:ascii="Times New Roman" w:hAnsi="Times New Roman" w:cs="Times New Roman"/>
          <w:b/>
          <w:bCs/>
        </w:rPr>
        <w:t>REHABILITACIÓN ENTORNO URBANO SECTOR SUNP-8 E</w:t>
      </w:r>
      <w:r w:rsidR="00A45673">
        <w:rPr>
          <w:rFonts w:ascii="Times New Roman" w:hAnsi="Times New Roman" w:cs="Times New Roman"/>
          <w:b/>
          <w:bCs/>
        </w:rPr>
        <w:t>N EL PALMAR DE TROYA. (SEVILLA)”</w:t>
      </w:r>
      <w:r w:rsidR="00A45673" w:rsidRPr="00A45673">
        <w:rPr>
          <w:rFonts w:ascii="Times New Roman" w:hAnsi="Times New Roman" w:cs="Times New Roman"/>
          <w:b/>
          <w:bCs/>
        </w:rPr>
        <w:t xml:space="preserve">   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DECLARA Y CERTIFICA </w:t>
      </w:r>
      <w:r w:rsidRPr="00C24639">
        <w:rPr>
          <w:rFonts w:ascii="Times New Roman" w:eastAsia="Calibri" w:hAnsi="Times New Roman" w:cs="Times New Roman"/>
        </w:rPr>
        <w:t>bajo su personal responsabilidad: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 xml:space="preserve">PRIMERO: </w:t>
      </w:r>
    </w:p>
    <w:p w:rsidR="005C58BA" w:rsidRPr="00C24639" w:rsidRDefault="005C58BA" w:rsidP="00E90A85">
      <w:pPr>
        <w:numPr>
          <w:ilvl w:val="0"/>
          <w:numId w:val="15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Que el firmante ostenta la representación de la sociedad que presenta la oferta.</w:t>
      </w:r>
    </w:p>
    <w:p w:rsidR="005C58BA" w:rsidRPr="00C24639" w:rsidRDefault="005C58BA" w:rsidP="00E90A85">
      <w:pPr>
        <w:numPr>
          <w:ilvl w:val="0"/>
          <w:numId w:val="15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Que no se haya incurso, ni el/la representante, ni la empresa a la que representa, en ninguno de los supuestos legales de incapacidad ni incompatibilidad para contratar con las administraciones públicas, en cumplimiento de los dispuesto en el artículo 71 de la LCSP.</w:t>
      </w:r>
    </w:p>
    <w:p w:rsidR="005C58BA" w:rsidRPr="00C24639" w:rsidRDefault="005C58BA" w:rsidP="00E90A85">
      <w:pPr>
        <w:numPr>
          <w:ilvl w:val="0"/>
          <w:numId w:val="15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Que cumple las condiciones establecidas legalmente para contratar con la Administración, incluyendo las autorizaciones necesarias para ejercer la actividad y no estar en curso en prohibición de contratar alguna.</w:t>
      </w:r>
    </w:p>
    <w:p w:rsidR="005C58BA" w:rsidRPr="00C24639" w:rsidRDefault="005C58BA" w:rsidP="00E90A85">
      <w:pPr>
        <w:numPr>
          <w:ilvl w:val="0"/>
          <w:numId w:val="15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Que cuenta con la adecuada solvencia económica, financiera y técnica o, en su caso, la clasificación correspondiente, exigidas en el Pliego de Cláusulas Administrativa regulador del expediente.</w:t>
      </w:r>
    </w:p>
    <w:p w:rsidR="005C58BA" w:rsidRPr="00C24639" w:rsidRDefault="005C58BA" w:rsidP="00E90A85">
      <w:pPr>
        <w:numPr>
          <w:ilvl w:val="0"/>
          <w:numId w:val="15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Que se compromete a acreditar documentalmente ante el Órgano de Contratación, en el caso de ser requerido para ello, todos y cada uno de los extremos requeridos por la Ley y los pliegos con anterioridad a la adjudicación, en el plazo conferido al efecto.</w:t>
      </w:r>
    </w:p>
    <w:p w:rsidR="005C58BA" w:rsidRPr="00C24639" w:rsidRDefault="005C58BA" w:rsidP="00E90A85">
      <w:pPr>
        <w:numPr>
          <w:ilvl w:val="0"/>
          <w:numId w:val="15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Que acepta ser notificado a todos los efectos legales de cuantos actos, providencias o traslados surjan del expediente de contratación, a la </w:t>
      </w:r>
      <w:r w:rsidRPr="00C24639">
        <w:rPr>
          <w:rFonts w:ascii="Times New Roman" w:eastAsia="Calibri" w:hAnsi="Times New Roman" w:cs="Times New Roman"/>
          <w:b/>
          <w:bCs/>
        </w:rPr>
        <w:t xml:space="preserve">dirección de correo electrónico </w:t>
      </w:r>
      <w:r w:rsidRPr="00C24639">
        <w:rPr>
          <w:rFonts w:ascii="Times New Roman" w:eastAsia="Calibri" w:hAnsi="Times New Roman" w:cs="Times New Roman"/>
        </w:rPr>
        <w:t>“habilitada” para efectuar las notificaciones, considerando válidamente efectuadas las mismas que se realicen a través de dicho medio, de conformidad con lo dispuesto en la Disposición adicional decimoquinta de la LCSP: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ab/>
        <w:t xml:space="preserve">Correo </w:t>
      </w:r>
      <w:proofErr w:type="gramStart"/>
      <w:r w:rsidRPr="00C24639">
        <w:rPr>
          <w:rFonts w:ascii="Times New Roman" w:eastAsia="Calibri" w:hAnsi="Times New Roman" w:cs="Times New Roman"/>
        </w:rPr>
        <w:t>electrónico :</w:t>
      </w:r>
      <w:proofErr w:type="gramEnd"/>
      <w:r w:rsidRPr="00C24639">
        <w:rPr>
          <w:rFonts w:ascii="Times New Roman" w:eastAsia="Calibri" w:hAnsi="Times New Roman" w:cs="Times New Roman"/>
        </w:rPr>
        <w:t xml:space="preserve"> .......................................................................</w:t>
      </w:r>
    </w:p>
    <w:p w:rsidR="005C58BA" w:rsidRPr="00C24639" w:rsidRDefault="005C58BA" w:rsidP="00C94DA7">
      <w:pPr>
        <w:spacing w:after="0" w:line="240" w:lineRule="atLeast"/>
        <w:jc w:val="both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</w:rPr>
        <w:tab/>
      </w:r>
      <w:r w:rsidRPr="00C24639">
        <w:rPr>
          <w:rFonts w:ascii="Times New Roman" w:eastAsia="Calibri" w:hAnsi="Times New Roman" w:cs="Times New Roman"/>
        </w:rPr>
        <w:tab/>
      </w:r>
      <w:r w:rsidRPr="00C24639">
        <w:rPr>
          <w:rFonts w:ascii="Times New Roman" w:eastAsia="Calibri" w:hAnsi="Times New Roman" w:cs="Times New Roman"/>
          <w:i/>
        </w:rPr>
        <w:t xml:space="preserve">Este correo coincide con el que se ha facilitado como correo de contacto en la </w:t>
      </w:r>
      <w:r w:rsidRPr="00C24639">
        <w:rPr>
          <w:rFonts w:ascii="Times New Roman" w:eastAsia="Calibri" w:hAnsi="Times New Roman" w:cs="Times New Roman"/>
          <w:i/>
        </w:rPr>
        <w:tab/>
      </w:r>
      <w:r w:rsidRPr="00C24639">
        <w:rPr>
          <w:rFonts w:ascii="Times New Roman" w:eastAsia="Calibri" w:hAnsi="Times New Roman" w:cs="Times New Roman"/>
          <w:i/>
        </w:rPr>
        <w:tab/>
      </w:r>
      <w:r w:rsidRPr="00C24639">
        <w:rPr>
          <w:rFonts w:ascii="Times New Roman" w:eastAsia="Calibri" w:hAnsi="Times New Roman" w:cs="Times New Roman"/>
          <w:i/>
        </w:rPr>
        <w:tab/>
        <w:t>Plataforma de Contratación del Estado.</w:t>
      </w:r>
    </w:p>
    <w:p w:rsidR="005C58BA" w:rsidRPr="00C24639" w:rsidRDefault="005C58BA" w:rsidP="00E90A85">
      <w:pPr>
        <w:numPr>
          <w:ilvl w:val="0"/>
          <w:numId w:val="22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Que está dada de alta en el Registro de Licitadores </w:t>
      </w:r>
      <w:r w:rsidRPr="00C24639">
        <w:rPr>
          <w:rFonts w:ascii="Times New Roman" w:eastAsia="Calibri" w:hAnsi="Times New Roman" w:cs="Times New Roman"/>
        </w:rPr>
        <w:t>(Marque la casilla que corresponda)</w:t>
      </w:r>
    </w:p>
    <w:p w:rsidR="005C58BA" w:rsidRPr="00C24639" w:rsidRDefault="005C58BA" w:rsidP="00E90A85">
      <w:pPr>
        <w:numPr>
          <w:ilvl w:val="1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Registro Oficial de Licitadores y Empresas Clasificadas del Sector Publico</w:t>
      </w:r>
    </w:p>
    <w:p w:rsidR="005C58BA" w:rsidRPr="00C24639" w:rsidRDefault="005C58BA" w:rsidP="00E90A85">
      <w:pPr>
        <w:numPr>
          <w:ilvl w:val="1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Registro Oficial de la correspondiente Comunidad Autónoma</w:t>
      </w:r>
    </w:p>
    <w:p w:rsidR="005C58BA" w:rsidRPr="00C24639" w:rsidRDefault="005C58BA" w:rsidP="00E90A85">
      <w:pPr>
        <w:numPr>
          <w:ilvl w:val="1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Que los datos de esta empresa que consta en el Registro de Licitadores señalado:</w:t>
      </w:r>
    </w:p>
    <w:p w:rsidR="005C58BA" w:rsidRPr="00C24639" w:rsidRDefault="005C58BA" w:rsidP="00E90A85">
      <w:pPr>
        <w:numPr>
          <w:ilvl w:val="2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No han sido alterados en ninguna de sus circunstancias</w:t>
      </w:r>
    </w:p>
    <w:p w:rsidR="005C58BA" w:rsidRPr="00C24639" w:rsidRDefault="005C58BA" w:rsidP="00E90A85">
      <w:pPr>
        <w:numPr>
          <w:ilvl w:val="2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Han sido alterados en los términos siguientes:</w:t>
      </w:r>
    </w:p>
    <w:p w:rsidR="005C58BA" w:rsidRPr="00C24639" w:rsidRDefault="005C58BA" w:rsidP="00E90A85">
      <w:pPr>
        <w:numPr>
          <w:ilvl w:val="2"/>
          <w:numId w:val="11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5C58BA" w:rsidRPr="00C24639" w:rsidRDefault="005C58BA" w:rsidP="00E90A85">
      <w:pPr>
        <w:numPr>
          <w:ilvl w:val="2"/>
          <w:numId w:val="11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SEGUNDO: </w:t>
      </w:r>
      <w:r w:rsidRPr="00C24639">
        <w:rPr>
          <w:rFonts w:ascii="Times New Roman" w:eastAsia="Calibri" w:hAnsi="Times New Roman" w:cs="Times New Roman"/>
        </w:rPr>
        <w:t>Que se integra la solvencia por medios externos:</w:t>
      </w:r>
    </w:p>
    <w:p w:rsidR="005C58BA" w:rsidRPr="00C24639" w:rsidRDefault="005C58BA" w:rsidP="00E90A85">
      <w:pPr>
        <w:numPr>
          <w:ilvl w:val="0"/>
          <w:numId w:val="17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Si, existiendo el compromiso a que se refiere el artículo 75.2 LCSP.</w:t>
      </w:r>
    </w:p>
    <w:p w:rsidR="005C58BA" w:rsidRPr="00C24639" w:rsidRDefault="005C58BA" w:rsidP="00E90A85">
      <w:pPr>
        <w:numPr>
          <w:ilvl w:val="0"/>
          <w:numId w:val="17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No.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TERCERO: </w:t>
      </w:r>
      <w:r w:rsidRPr="00C24639">
        <w:rPr>
          <w:rFonts w:ascii="Times New Roman" w:eastAsia="Calibri" w:hAnsi="Times New Roman" w:cs="Times New Roman"/>
        </w:rPr>
        <w:t>Que se trata de empresa extranjera:</w:t>
      </w:r>
    </w:p>
    <w:p w:rsidR="005C58BA" w:rsidRPr="00C24639" w:rsidRDefault="005C58BA" w:rsidP="00E90A85">
      <w:pPr>
        <w:numPr>
          <w:ilvl w:val="0"/>
          <w:numId w:val="18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Si, y me someto a la jurisdicción de los Juzgados y Tribunales españoles de cualquier orden, para todas las incidencias que de modo directo o indirecto pudieran surgir del contrato, con renuncia, en su caso, al fuero jurisdiccional extranjero que pudiera corresponderles.</w:t>
      </w:r>
    </w:p>
    <w:p w:rsidR="005C58BA" w:rsidRPr="00C24639" w:rsidRDefault="005C58BA" w:rsidP="005C58BA">
      <w:pPr>
        <w:numPr>
          <w:ilvl w:val="0"/>
          <w:numId w:val="18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lastRenderedPageBreak/>
        <w:t>No.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CUARTO: </w:t>
      </w:r>
      <w:r w:rsidRPr="00C24639">
        <w:rPr>
          <w:rFonts w:ascii="Times New Roman" w:eastAsia="Calibri" w:hAnsi="Times New Roman" w:cs="Times New Roman"/>
        </w:rPr>
        <w:t>Que la empresa a la que representa emplea a: (Marque la casilla que corresponda)</w:t>
      </w:r>
    </w:p>
    <w:p w:rsidR="005C58BA" w:rsidRPr="00C24639" w:rsidRDefault="005C58BA" w:rsidP="00E90A85">
      <w:pPr>
        <w:numPr>
          <w:ilvl w:val="0"/>
          <w:numId w:val="19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Menos de 50 trabajadores</w:t>
      </w:r>
    </w:p>
    <w:p w:rsidR="005C58BA" w:rsidRPr="00C24639" w:rsidRDefault="005C58BA" w:rsidP="00E90A85">
      <w:pPr>
        <w:numPr>
          <w:ilvl w:val="0"/>
          <w:numId w:val="19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50 o más trabajadores y (Marque la casilla que corresponda)</w:t>
      </w:r>
    </w:p>
    <w:p w:rsidR="005C58BA" w:rsidRPr="00C24639" w:rsidRDefault="005C58BA" w:rsidP="00E90A85">
      <w:pPr>
        <w:numPr>
          <w:ilvl w:val="0"/>
          <w:numId w:val="19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Cumple con la obligación de </w:t>
      </w:r>
      <w:proofErr w:type="gramStart"/>
      <w:r w:rsidRPr="00C24639">
        <w:rPr>
          <w:rFonts w:ascii="Times New Roman" w:eastAsia="Calibri" w:hAnsi="Times New Roman" w:cs="Times New Roman"/>
        </w:rPr>
        <w:t>que</w:t>
      </w:r>
      <w:proofErr w:type="gramEnd"/>
      <w:r w:rsidRPr="00C24639">
        <w:rPr>
          <w:rFonts w:ascii="Times New Roman" w:eastAsia="Calibri" w:hAnsi="Times New Roman" w:cs="Times New Roman"/>
        </w:rPr>
        <w:t xml:space="preserve"> entre ellos, al menos, el 2% sean trabajadores con discapacidad, establecida por el Real Decreto Legislativo 1/2013, de 29 de noviembre, por el que se aprueba el Texto Refundido de la Ley General de derechos de las personas con discapacidad y de su inclusión social.</w:t>
      </w:r>
    </w:p>
    <w:p w:rsidR="005C58BA" w:rsidRPr="00C24639" w:rsidRDefault="005C58BA" w:rsidP="00E90A85">
      <w:pPr>
        <w:numPr>
          <w:ilvl w:val="0"/>
          <w:numId w:val="19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Cumple las medid</w:t>
      </w:r>
      <w:bookmarkStart w:id="4" w:name="_GoBack"/>
      <w:bookmarkEnd w:id="4"/>
      <w:r w:rsidRPr="00C24639">
        <w:rPr>
          <w:rFonts w:ascii="Times New Roman" w:eastAsia="Calibri" w:hAnsi="Times New Roman" w:cs="Times New Roman"/>
        </w:rPr>
        <w:t>as alternativas previstas en el Real Decreto 364/2005, de 8 de abril, por el que se regula el cumplimiento alternativo con carácter excepcional de la cuota de reserva a favor de trabajadores con discapacidad.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QUINTO: </w:t>
      </w:r>
      <w:r w:rsidRPr="00C24639">
        <w:rPr>
          <w:rFonts w:ascii="Times New Roman" w:eastAsia="Calibri" w:hAnsi="Times New Roman" w:cs="Times New Roman"/>
        </w:rPr>
        <w:t>Que la empresa a la que representa: (Marque la casilla que corresponda)</w:t>
      </w:r>
    </w:p>
    <w:p w:rsidR="005C58BA" w:rsidRPr="00C24639" w:rsidRDefault="005C58BA" w:rsidP="00E90A85">
      <w:pPr>
        <w:numPr>
          <w:ilvl w:val="0"/>
          <w:numId w:val="2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Emplea a más de 250 trabajadores y cumple con lo establecido en el apartado 2 del artículo 45 de la Ley Orgánica 3/2007, de 22 de marzo, para la igualdad efectiva de mujeres y hombres, relativo a la elaboración y aplicación de un plan de igualdad.</w:t>
      </w:r>
    </w:p>
    <w:p w:rsidR="005C58BA" w:rsidRPr="00C24639" w:rsidRDefault="005C58BA" w:rsidP="00E90A85">
      <w:pPr>
        <w:numPr>
          <w:ilvl w:val="0"/>
          <w:numId w:val="2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Emplea a 250 o menos trabajadores y en aplicación del convenio colectivo aplicable, cumple con lo establecido en el apartado 3 del artículo 45 de la Ley Orgánica 3/2007, de 22 de marzo, para la igualdad efectiva de mujeres y hombres, relativo a la elaboración y aplicación de un plan de igualdad.</w:t>
      </w:r>
    </w:p>
    <w:p w:rsidR="005C58BA" w:rsidRPr="00C24639" w:rsidRDefault="005C58BA" w:rsidP="00E90A85">
      <w:pPr>
        <w:numPr>
          <w:ilvl w:val="0"/>
          <w:numId w:val="20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En aplicación del apartado 5 del artículo 45 de la Ley Orgánica 3/2007, de 22 de marzo, para la igualdad efectiva de mujeres y hombres, la empresa no está obligada a la elaboración e implantación del plan de igualdad.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SEXTO: </w:t>
      </w:r>
      <w:r w:rsidRPr="00C24639">
        <w:rPr>
          <w:rFonts w:ascii="Times New Roman" w:eastAsia="Calibri" w:hAnsi="Times New Roman" w:cs="Times New Roman"/>
        </w:rPr>
        <w:t>Que la empresa a la que representa, cumple con las disposiciones vigentes en materia laboral y social.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SÉPTIMO: </w:t>
      </w:r>
      <w:r w:rsidRPr="00C24639">
        <w:rPr>
          <w:rFonts w:ascii="Times New Roman" w:eastAsia="Calibri" w:hAnsi="Times New Roman" w:cs="Times New Roman"/>
        </w:rPr>
        <w:t>Que la citada empresa se encuentra al corriente de las Obligaciones tributarias y con la Seguridad Social, con el compromiso expreso, caso de resultar propuesto como adjudicatario, a presentar las correspondientes certificaciones en los términos reglamentariamente dispuestos.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/>
          <w:bCs/>
        </w:rPr>
        <w:t xml:space="preserve">OCTAVO: </w:t>
      </w:r>
      <w:r w:rsidRPr="00C24639">
        <w:rPr>
          <w:rFonts w:ascii="Times New Roman" w:eastAsia="Calibri" w:hAnsi="Times New Roman" w:cs="Times New Roman"/>
        </w:rPr>
        <w:t xml:space="preserve">A efectos de identificación de ofertas anormalmente bajas y conforme lo previsto en el artículo 149.3 de la LCSP, relativo a la concurrencia a esta licitación de </w:t>
      </w:r>
      <w:r w:rsidRPr="00C24639">
        <w:rPr>
          <w:rFonts w:ascii="Times New Roman" w:eastAsia="Calibri" w:hAnsi="Times New Roman" w:cs="Times New Roman"/>
          <w:b/>
          <w:bCs/>
        </w:rPr>
        <w:t xml:space="preserve">empresas vinculadas </w:t>
      </w:r>
      <w:r w:rsidRPr="00C24639">
        <w:rPr>
          <w:rFonts w:ascii="Times New Roman" w:eastAsia="Calibri" w:hAnsi="Times New Roman" w:cs="Times New Roman"/>
        </w:rPr>
        <w:t>que se encuentren en alguno de los supuestos previstos en el artículo 42.1 del Código de Comercio, DECLARA (marcar con una x o que proceda):</w:t>
      </w:r>
    </w:p>
    <w:p w:rsidR="005C58BA" w:rsidRPr="00C24639" w:rsidRDefault="005C58BA" w:rsidP="00E90A85">
      <w:pPr>
        <w:numPr>
          <w:ilvl w:val="0"/>
          <w:numId w:val="21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No encontrarse vinculada con ninguna empresa</w:t>
      </w:r>
    </w:p>
    <w:p w:rsidR="005C58BA" w:rsidRPr="00C24639" w:rsidRDefault="005C58BA" w:rsidP="00E90A85">
      <w:pPr>
        <w:numPr>
          <w:ilvl w:val="0"/>
          <w:numId w:val="21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Ser empresa vinculada, por encontrarse en alguno de los supuestos previstos en el artículo 42 del Código de Comercio, presentándose a la licitación las siguientes empresas:</w:t>
      </w:r>
    </w:p>
    <w:p w:rsidR="005C58BA" w:rsidRPr="00C24639" w:rsidRDefault="005C58BA" w:rsidP="00E90A85">
      <w:pPr>
        <w:numPr>
          <w:ilvl w:val="1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.....................................................................................</w:t>
      </w:r>
    </w:p>
    <w:p w:rsidR="005C58BA" w:rsidRPr="00C24639" w:rsidRDefault="005C58BA" w:rsidP="00E90A85">
      <w:pPr>
        <w:numPr>
          <w:ilvl w:val="1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......................................................................................</w:t>
      </w:r>
    </w:p>
    <w:p w:rsidR="005C58BA" w:rsidRPr="00C24639" w:rsidRDefault="005C58BA" w:rsidP="00E90A85">
      <w:pPr>
        <w:numPr>
          <w:ilvl w:val="1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........................................................................................</w:t>
      </w:r>
    </w:p>
    <w:p w:rsidR="005C58BA" w:rsidRPr="00C24639" w:rsidRDefault="005C58BA" w:rsidP="00E90A85">
      <w:pPr>
        <w:numPr>
          <w:ilvl w:val="0"/>
          <w:numId w:val="16"/>
        </w:numPr>
        <w:spacing w:before="240" w:after="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Ser empresa vinculada, por encontrarse en alguno de los supuestos previstos en el artículo 42 del Código de Comercio, no presentándose a la licitación ninguna de las empresas con las que existe dicha vinculación.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ab/>
        <w:t>Y para que así conste y surta sus efectos ante el órgano de contratación del Excmo. Ayuntamiento de El Palmar de Troya, en cumplimiento de lo dispuesto en la LCSP, firma la presente.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En ............................................................. a …..........de</w:t>
      </w:r>
      <w:r w:rsidR="00A45673">
        <w:rPr>
          <w:rFonts w:ascii="Times New Roman" w:eastAsia="Calibri" w:hAnsi="Times New Roman" w:cs="Times New Roman"/>
        </w:rPr>
        <w:t>………</w:t>
      </w:r>
      <w:proofErr w:type="gramStart"/>
      <w:r w:rsidR="00A45673">
        <w:rPr>
          <w:rFonts w:ascii="Times New Roman" w:eastAsia="Calibri" w:hAnsi="Times New Roman" w:cs="Times New Roman"/>
        </w:rPr>
        <w:t>…….</w:t>
      </w:r>
      <w:proofErr w:type="gramEnd"/>
      <w:r w:rsidR="00A45673">
        <w:rPr>
          <w:rFonts w:ascii="Times New Roman" w:eastAsia="Calibri" w:hAnsi="Times New Roman" w:cs="Times New Roman"/>
        </w:rPr>
        <w:t>.</w:t>
      </w:r>
      <w:r w:rsidR="003E735D">
        <w:rPr>
          <w:rFonts w:ascii="Times New Roman" w:eastAsia="Calibri" w:hAnsi="Times New Roman" w:cs="Times New Roman"/>
        </w:rPr>
        <w:t>de………….</w:t>
      </w: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</w:rPr>
        <w:t>(</w:t>
      </w:r>
      <w:r w:rsidRPr="00C24639">
        <w:rPr>
          <w:rFonts w:ascii="Times New Roman" w:eastAsia="Calibri" w:hAnsi="Times New Roman" w:cs="Times New Roman"/>
          <w:i/>
        </w:rPr>
        <w:t>Fdo.  electrónicamente y Sello de la empresa)</w:t>
      </w:r>
    </w:p>
    <w:p w:rsidR="00C94DA7" w:rsidRPr="00C24639" w:rsidRDefault="005C58BA" w:rsidP="00C94DA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  <w:bookmarkStart w:id="5" w:name="_ANEXO_II_(B).:"/>
      <w:bookmarkStart w:id="6" w:name="_Toc102039123"/>
      <w:bookmarkStart w:id="7" w:name="_Toc109111346"/>
      <w:bookmarkStart w:id="8" w:name="_Toc110505235"/>
      <w:bookmarkEnd w:id="5"/>
    </w:p>
    <w:p w:rsidR="00C94DA7" w:rsidRPr="00C24639" w:rsidRDefault="00C94DA7" w:rsidP="00C94DA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292FC1" w:rsidRPr="00C24639" w:rsidRDefault="00292FC1" w:rsidP="005C58BA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bookmarkEnd w:id="6"/>
    <w:bookmarkEnd w:id="7"/>
    <w:bookmarkEnd w:id="8"/>
    <w:sectPr w:rsidR="00292FC1" w:rsidRPr="00C24639" w:rsidSect="003E735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00A1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00A1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8" w:rsidRPr="00300A18" w:rsidRDefault="00300A18" w:rsidP="00300A18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300A18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300A18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300A18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300A18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300A18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300A18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300A18" w:rsidRPr="00300A18" w:rsidRDefault="00300A18" w:rsidP="00300A18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300A18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300A18" w:rsidRDefault="00300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8" w:rsidRDefault="00300A18">
    <w:pPr>
      <w:pStyle w:val="Encabezado"/>
    </w:pPr>
    <w:r>
      <w:rPr>
        <w:noProof/>
        <w:lang w:eastAsia="es-ES"/>
      </w:rPr>
      <w:drawing>
        <wp:inline distT="0" distB="0" distL="0" distR="0" wp14:anchorId="2DF564BE">
          <wp:extent cx="640080" cy="91440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68" w:rsidRDefault="00D01C68">
    <w:pPr>
      <w:pStyle w:val="Encabezado"/>
    </w:pPr>
    <w:r>
      <w:rPr>
        <w:noProof/>
        <w:lang w:eastAsia="es-ES"/>
      </w:rPr>
      <w:drawing>
        <wp:inline distT="0" distB="0" distL="0" distR="0" wp14:anchorId="540375B1" wp14:editId="215BA0DF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A18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E735D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01C68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ADFEA-6FD5-4BE6-B0E9-F5A4324E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15</cp:revision>
  <cp:lastPrinted>2023-03-24T09:49:00Z</cp:lastPrinted>
  <dcterms:created xsi:type="dcterms:W3CDTF">2023-03-13T13:29:00Z</dcterms:created>
  <dcterms:modified xsi:type="dcterms:W3CDTF">2023-03-27T08:46:00Z</dcterms:modified>
</cp:coreProperties>
</file>